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otnotes+xml" PartName="/word/footnot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widowControl w:val="0"/>
        <w:spacing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RELATÓRIO TÉCNICO</w:t>
      </w:r>
    </w:p>
    <w:p w:rsidR="00000000" w:rsidDel="00000000" w:rsidP="00000000" w:rsidRDefault="00000000" w:rsidRPr="00000000" w14:paraId="00000002">
      <w:pPr>
        <w:widowControl w:val="0"/>
        <w:spacing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VALORAÇÃO DO DANO AMBIENTAL</w:t>
      </w:r>
    </w:p>
    <w:p w:rsidR="00000000" w:rsidDel="00000000" w:rsidP="00000000" w:rsidRDefault="00000000" w:rsidRPr="00000000" w14:paraId="00000003">
      <w:pPr>
        <w:widowControl w:val="0"/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spacing w:line="360" w:lineRule="auto"/>
        <w:jc w:val="both"/>
        <w:rPr>
          <w:b w:val="1"/>
        </w:rPr>
      </w:pPr>
      <w:r w:rsidDel="00000000" w:rsidR="00000000" w:rsidRPr="00000000">
        <w:rPr>
          <w:rtl w:val="0"/>
        </w:rPr>
        <w:t xml:space="preserve">PROC. N. </w:t>
      </w:r>
      <w:r w:rsidDel="00000000" w:rsidR="00000000" w:rsidRPr="00000000">
        <w:rPr>
          <w:b w:val="1"/>
          <w:rtl w:val="0"/>
        </w:rPr>
        <w:t xml:space="preserve">{{simp}}</w:t>
      </w:r>
    </w:p>
    <w:p w:rsidR="00000000" w:rsidDel="00000000" w:rsidP="00000000" w:rsidRDefault="00000000" w:rsidRPr="00000000" w14:paraId="00000005">
      <w:pPr>
        <w:widowControl w:val="0"/>
        <w:spacing w:line="360" w:lineRule="auto"/>
        <w:jc w:val="both"/>
        <w:rPr>
          <w:b w:val="1"/>
        </w:rPr>
      </w:pPr>
      <w:r w:rsidDel="00000000" w:rsidR="00000000" w:rsidRPr="00000000">
        <w:rPr>
          <w:rtl w:val="0"/>
        </w:rPr>
        <w:t xml:space="preserve">REQUERIDO: </w:t>
      </w:r>
      <w:r w:rsidDel="00000000" w:rsidR="00000000" w:rsidRPr="00000000">
        <w:rPr>
          <w:b w:val="1"/>
          <w:rtl w:val="0"/>
        </w:rPr>
        <w:t xml:space="preserve">{{nome_parte_requerida}}</w:t>
      </w:r>
    </w:p>
    <w:p w:rsidR="00000000" w:rsidDel="00000000" w:rsidP="00000000" w:rsidRDefault="00000000" w:rsidRPr="00000000" w14:paraId="00000006">
      <w:pPr>
        <w:widowControl w:val="0"/>
        <w:spacing w:line="36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spacing w:after="200" w:line="360" w:lineRule="auto"/>
        <w:ind w:firstLine="2267.716535433071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Trata-se de valoração do dano material obtida por meio da metodologia descrita na obra </w:t>
      </w:r>
      <w:r w:rsidDel="00000000" w:rsidR="00000000" w:rsidRPr="00000000">
        <w:rPr>
          <w:i w:val="1"/>
          <w:sz w:val="24"/>
          <w:szCs w:val="24"/>
          <w:rtl w:val="0"/>
        </w:rPr>
        <w:t xml:space="preserve">Valoração do Dano Ambiental: Casos Aplicados ao Estado de Mato Grosso</w:t>
      </w:r>
      <w:r w:rsidDel="00000000" w:rsidR="00000000" w:rsidRPr="00000000">
        <w:rPr>
          <w:sz w:val="24"/>
          <w:szCs w:val="24"/>
          <w:vertAlign w:val="superscript"/>
        </w:rPr>
        <w:footnoteReference w:customMarkFollows="0" w:id="0"/>
      </w:r>
      <w:r w:rsidDel="00000000" w:rsidR="00000000" w:rsidRPr="00000000">
        <w:rPr>
          <w:i w:val="1"/>
          <w:sz w:val="24"/>
          <w:szCs w:val="24"/>
          <w:rtl w:val="0"/>
        </w:rPr>
        <w:t xml:space="preserve">, </w:t>
      </w:r>
      <w:r w:rsidDel="00000000" w:rsidR="00000000" w:rsidRPr="00000000">
        <w:rPr>
          <w:sz w:val="24"/>
          <w:szCs w:val="24"/>
          <w:rtl w:val="0"/>
        </w:rPr>
        <w:t xml:space="preserve">desenvolvida pela  da Procuradoria de Justiça Especializada em Defesa Ambiental e Ordem Urbanística do Ministério Público do Estado de Mato Grosso (PJEDAOU) para fundamentar a atuação ministerial dos Promotores de Justiça de Meio Ambiente do Estado de Mato Grosso, estando devidamente detalhada no</w:t>
      </w:r>
      <w:r w:rsidDel="00000000" w:rsidR="00000000" w:rsidRPr="00000000">
        <w:rPr>
          <w:b w:val="1"/>
          <w:sz w:val="24"/>
          <w:szCs w:val="24"/>
          <w:rtl w:val="0"/>
        </w:rPr>
        <w:t xml:space="preserve"> Anexo I</w:t>
      </w:r>
      <w:r w:rsidDel="00000000" w:rsidR="00000000" w:rsidRPr="00000000">
        <w:rPr>
          <w:sz w:val="24"/>
          <w:szCs w:val="24"/>
          <w:rtl w:val="0"/>
        </w:rPr>
        <w:t xml:space="preserve"> ao presente (Seção “Desflorestamentos Irregulares” da referida obra).</w:t>
      </w:r>
    </w:p>
    <w:p w:rsidR="00000000" w:rsidDel="00000000" w:rsidP="00000000" w:rsidRDefault="00000000" w:rsidRPr="00000000" w14:paraId="00000008">
      <w:pPr>
        <w:widowControl w:val="0"/>
        <w:spacing w:after="200" w:line="360" w:lineRule="auto"/>
        <w:ind w:firstLine="2267.71653543307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Utilizaram-se os seguintes critérios:</w:t>
      </w:r>
    </w:p>
    <w:p w:rsidR="00000000" w:rsidDel="00000000" w:rsidP="00000000" w:rsidRDefault="00000000" w:rsidRPr="00000000" w14:paraId="00000009">
      <w:pPr>
        <w:widowControl w:val="0"/>
        <w:numPr>
          <w:ilvl w:val="0"/>
          <w:numId w:val="3"/>
        </w:numPr>
        <w:spacing w:after="200" w:line="360" w:lineRule="auto"/>
        <w:ind w:left="288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dano material: cálculo do dano material pelos métodos CATE e VCP;</w:t>
      </w:r>
    </w:p>
    <w:p w:rsidR="00000000" w:rsidDel="00000000" w:rsidP="00000000" w:rsidRDefault="00000000" w:rsidRPr="00000000" w14:paraId="0000000A">
      <w:pPr>
        <w:widowControl w:val="0"/>
        <w:spacing w:after="200" w:line="360" w:lineRule="auto"/>
        <w:ind w:left="0" w:firstLine="2267.716535433071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As características do desflorestamento ilegal são:</w:t>
      </w:r>
    </w:p>
    <w:p w:rsidR="00000000" w:rsidDel="00000000" w:rsidP="00000000" w:rsidRDefault="00000000" w:rsidRPr="00000000" w14:paraId="0000000B">
      <w:pPr>
        <w:widowControl w:val="0"/>
        <w:numPr>
          <w:ilvl w:val="0"/>
          <w:numId w:val="1"/>
        </w:numPr>
        <w:spacing w:after="0" w:afterAutospacing="0" w:line="360" w:lineRule="auto"/>
        <w:ind w:left="288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Área total destruída igual a  </w:t>
      </w:r>
      <w:r w:rsidDel="00000000" w:rsidR="00000000" w:rsidRPr="00000000">
        <w:rPr>
          <w:b w:val="1"/>
          <w:sz w:val="24"/>
          <w:szCs w:val="24"/>
          <w:rtl w:val="0"/>
        </w:rPr>
        <w:t xml:space="preserve">{{area_desmatada_total}}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hectares</w:t>
      </w:r>
      <w:r w:rsidDel="00000000" w:rsidR="00000000" w:rsidRPr="00000000">
        <w:rPr>
          <w:sz w:val="24"/>
          <w:szCs w:val="24"/>
          <w:rtl w:val="0"/>
        </w:rPr>
        <w:t xml:space="preserve">;</w:t>
      </w:r>
    </w:p>
    <w:p w:rsidR="00000000" w:rsidDel="00000000" w:rsidP="00000000" w:rsidRDefault="00000000" w:rsidRPr="00000000" w14:paraId="0000000C">
      <w:pPr>
        <w:widowControl w:val="0"/>
        <w:numPr>
          <w:ilvl w:val="0"/>
          <w:numId w:val="1"/>
        </w:numPr>
        <w:spacing w:after="0" w:afterAutospacing="0" w:line="360" w:lineRule="auto"/>
        <w:ind w:left="288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Área insuscetível (APP e ARL) desmatada: </w:t>
      </w:r>
      <w:r w:rsidDel="00000000" w:rsidR="00000000" w:rsidRPr="00000000">
        <w:rPr>
          <w:b w:val="1"/>
          <w:sz w:val="24"/>
          <w:szCs w:val="24"/>
          <w:rtl w:val="0"/>
        </w:rPr>
        <w:t xml:space="preserve">{{area_desmatada_insusc}}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hectares</w:t>
      </w:r>
      <w:r w:rsidDel="00000000" w:rsidR="00000000" w:rsidRPr="00000000">
        <w:rPr>
          <w:sz w:val="24"/>
          <w:szCs w:val="24"/>
          <w:rtl w:val="0"/>
        </w:rPr>
        <w:t xml:space="preserve">;</w:t>
      </w:r>
    </w:p>
    <w:p w:rsidR="00000000" w:rsidDel="00000000" w:rsidP="00000000" w:rsidRDefault="00000000" w:rsidRPr="00000000" w14:paraId="0000000D">
      <w:pPr>
        <w:widowControl w:val="0"/>
        <w:numPr>
          <w:ilvl w:val="0"/>
          <w:numId w:val="1"/>
        </w:numPr>
        <w:spacing w:after="0" w:afterAutospacing="0" w:line="360" w:lineRule="auto"/>
        <w:ind w:left="28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Área suscetível, porém desmatada ilegalmente: </w:t>
      </w:r>
      <w:r w:rsidDel="00000000" w:rsidR="00000000" w:rsidRPr="00000000">
        <w:rPr>
          <w:b w:val="1"/>
          <w:sz w:val="24"/>
          <w:szCs w:val="24"/>
          <w:rtl w:val="0"/>
        </w:rPr>
        <w:t xml:space="preserve">{{area_desmatada_susc}}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hectares</w:t>
      </w:r>
      <w:r w:rsidDel="00000000" w:rsidR="00000000" w:rsidRPr="00000000">
        <w:rPr>
          <w:sz w:val="24"/>
          <w:szCs w:val="24"/>
          <w:rtl w:val="0"/>
        </w:rPr>
        <w:t xml:space="preserve">;</w:t>
      </w:r>
    </w:p>
    <w:p w:rsidR="00000000" w:rsidDel="00000000" w:rsidP="00000000" w:rsidRDefault="00000000" w:rsidRPr="00000000" w14:paraId="0000000E">
      <w:pPr>
        <w:widowControl w:val="0"/>
        <w:numPr>
          <w:ilvl w:val="0"/>
          <w:numId w:val="1"/>
        </w:numPr>
        <w:spacing w:after="0" w:afterAutospacing="0" w:line="360" w:lineRule="auto"/>
        <w:ind w:left="28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{{fitofisionomia}};</w:t>
      </w:r>
    </w:p>
    <w:p w:rsidR="00000000" w:rsidDel="00000000" w:rsidP="00000000" w:rsidRDefault="00000000" w:rsidRPr="00000000" w14:paraId="0000000F">
      <w:pPr>
        <w:widowControl w:val="0"/>
        <w:numPr>
          <w:ilvl w:val="0"/>
          <w:numId w:val="1"/>
        </w:numPr>
        <w:spacing w:after="0" w:afterAutospacing="0" w:line="360" w:lineRule="auto"/>
        <w:ind w:left="28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{{estagio_sucessional_selec}};</w:t>
      </w:r>
    </w:p>
    <w:p w:rsidR="00000000" w:rsidDel="00000000" w:rsidP="00000000" w:rsidRDefault="00000000" w:rsidRPr="00000000" w14:paraId="00000010">
      <w:pPr>
        <w:widowControl w:val="0"/>
        <w:numPr>
          <w:ilvl w:val="0"/>
          <w:numId w:val="1"/>
        </w:numPr>
        <w:spacing w:after="200" w:line="360" w:lineRule="auto"/>
        <w:ind w:left="28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{{fator_calibracao}};</w:t>
      </w:r>
    </w:p>
    <w:p w:rsidR="00000000" w:rsidDel="00000000" w:rsidP="00000000" w:rsidRDefault="00000000" w:rsidRPr="00000000" w14:paraId="00000011">
      <w:pPr>
        <w:widowControl w:val="0"/>
        <w:spacing w:after="200" w:before="200" w:line="360" w:lineRule="auto"/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CONCLUSÃO</w:t>
      </w:r>
    </w:p>
    <w:p w:rsidR="00000000" w:rsidDel="00000000" w:rsidP="00000000" w:rsidRDefault="00000000" w:rsidRPr="00000000" w14:paraId="00000012">
      <w:pPr>
        <w:widowControl w:val="0"/>
        <w:spacing w:after="200" w:line="360" w:lineRule="auto"/>
        <w:ind w:firstLine="2267.71653543307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Realizados os cálculos indicados na referida obra técnica, para os danos materiais, obtiveram-se  seguintes valores:</w:t>
      </w:r>
    </w:p>
    <w:p w:rsidR="00000000" w:rsidDel="00000000" w:rsidP="00000000" w:rsidRDefault="00000000" w:rsidRPr="00000000" w14:paraId="00000013">
      <w:pPr>
        <w:widowControl w:val="0"/>
        <w:spacing w:after="200" w:line="360" w:lineRule="auto"/>
        <w:ind w:firstLine="2267.716535433071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DANOS MATERIAIS</w:t>
      </w:r>
    </w:p>
    <w:p w:rsidR="00000000" w:rsidDel="00000000" w:rsidP="00000000" w:rsidRDefault="00000000" w:rsidRPr="00000000" w14:paraId="00000014">
      <w:pPr>
        <w:widowControl w:val="0"/>
        <w:numPr>
          <w:ilvl w:val="0"/>
          <w:numId w:val="2"/>
        </w:numPr>
        <w:spacing w:after="0" w:afterAutospacing="0" w:line="360" w:lineRule="auto"/>
        <w:ind w:left="288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Em APP, ARL ou áreas de uso restrito:</w:t>
      </w:r>
    </w:p>
    <w:p w:rsidR="00000000" w:rsidDel="00000000" w:rsidP="00000000" w:rsidRDefault="00000000" w:rsidRPr="00000000" w14:paraId="00000015">
      <w:pPr>
        <w:widowControl w:val="0"/>
        <w:numPr>
          <w:ilvl w:val="1"/>
          <w:numId w:val="2"/>
        </w:numPr>
        <w:spacing w:after="0" w:afterAutospacing="0" w:line="360" w:lineRule="auto"/>
        <w:ind w:left="360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pelo </w:t>
      </w:r>
      <w:r w:rsidDel="00000000" w:rsidR="00000000" w:rsidRPr="00000000">
        <w:rPr>
          <w:b w:val="1"/>
          <w:sz w:val="24"/>
          <w:szCs w:val="24"/>
          <w:rtl w:val="0"/>
        </w:rPr>
        <w:t xml:space="preserve">Método CATE</w:t>
      </w:r>
      <w:r w:rsidDel="00000000" w:rsidR="00000000" w:rsidRPr="00000000">
        <w:rPr>
          <w:sz w:val="24"/>
          <w:szCs w:val="24"/>
          <w:rtl w:val="0"/>
        </w:rPr>
        <w:t xml:space="preserve">: </w:t>
      </w:r>
      <w:r w:rsidDel="00000000" w:rsidR="00000000" w:rsidRPr="00000000">
        <w:rPr>
          <w:b w:val="1"/>
          <w:sz w:val="24"/>
          <w:szCs w:val="24"/>
          <w:rtl w:val="0"/>
        </w:rPr>
        <w:t xml:space="preserve">R$ {{valor_cate}}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ou</w:t>
      </w:r>
    </w:p>
    <w:p w:rsidR="00000000" w:rsidDel="00000000" w:rsidP="00000000" w:rsidRDefault="00000000" w:rsidRPr="00000000" w14:paraId="00000016">
      <w:pPr>
        <w:widowControl w:val="0"/>
        <w:numPr>
          <w:ilvl w:val="1"/>
          <w:numId w:val="2"/>
        </w:numPr>
        <w:spacing w:after="0" w:afterAutospacing="0" w:line="360" w:lineRule="auto"/>
        <w:ind w:left="360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pelo</w:t>
      </w:r>
      <w:r w:rsidDel="00000000" w:rsidR="00000000" w:rsidRPr="00000000">
        <w:rPr>
          <w:b w:val="1"/>
          <w:sz w:val="24"/>
          <w:szCs w:val="24"/>
          <w:rtl w:val="0"/>
        </w:rPr>
        <w:t xml:space="preserve"> Método VCP</w:t>
      </w:r>
      <w:r w:rsidDel="00000000" w:rsidR="00000000" w:rsidRPr="00000000">
        <w:rPr>
          <w:sz w:val="24"/>
          <w:szCs w:val="24"/>
          <w:rtl w:val="0"/>
        </w:rPr>
        <w:t xml:space="preserve">:</w:t>
      </w:r>
      <w:r w:rsidDel="00000000" w:rsidR="00000000" w:rsidRPr="00000000">
        <w:rPr>
          <w:b w:val="1"/>
          <w:sz w:val="24"/>
          <w:szCs w:val="24"/>
          <w:rtl w:val="0"/>
        </w:rPr>
        <w:t xml:space="preserve"> R$ {{valor_vcp}}</w:t>
      </w:r>
    </w:p>
    <w:p w:rsidR="00000000" w:rsidDel="00000000" w:rsidP="00000000" w:rsidRDefault="00000000" w:rsidRPr="00000000" w14:paraId="00000017">
      <w:pPr>
        <w:widowControl w:val="0"/>
        <w:numPr>
          <w:ilvl w:val="0"/>
          <w:numId w:val="2"/>
        </w:numPr>
        <w:spacing w:after="200" w:line="360" w:lineRule="auto"/>
        <w:ind w:left="28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Em Área passível de desmatamento, porém desmatada de modo ilegal pelo método Custos de Restauração (fora de APP, ARL, etc.): </w:t>
      </w:r>
      <w:r w:rsidDel="00000000" w:rsidR="00000000" w:rsidRPr="00000000">
        <w:rPr>
          <w:b w:val="1"/>
          <w:sz w:val="24"/>
          <w:szCs w:val="24"/>
          <w:rtl w:val="0"/>
        </w:rPr>
        <w:t xml:space="preserve">R$ {{calculo_fora_app_arl}}</w:t>
      </w:r>
    </w:p>
    <w:tbl>
      <w:tblPr>
        <w:tblStyle w:val="Table1"/>
        <w:tblW w:w="9029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trHeight w:val="540" w:hRule="atLeast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8">
            <w:pPr>
              <w:widowControl w:val="0"/>
              <w:spacing w:after="0" w:line="360" w:lineRule="auto"/>
              <w:ind w:left="2267.716535433071" w:firstLine="0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TOTAL DANOS MATERIAIS 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MÉTODO CATE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MÉTODO VCP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{{total_cate_3o_metodo}}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{{total_vcp_3o_metodo}}</w:t>
            </w:r>
          </w:p>
        </w:tc>
      </w:tr>
    </w:tbl>
    <w:p w:rsidR="00000000" w:rsidDel="00000000" w:rsidP="00000000" w:rsidRDefault="00000000" w:rsidRPr="00000000" w14:paraId="0000001E">
      <w:pPr>
        <w:widowControl w:val="0"/>
        <w:spacing w:line="360" w:lineRule="auto"/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widowControl w:val="0"/>
        <w:spacing w:line="360" w:lineRule="auto"/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widowControl w:val="0"/>
        <w:spacing w:after="200" w:line="360" w:lineRule="auto"/>
        <w:ind w:left="-30" w:firstLine="2297.716535433071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{{cidade}}, {{data_hoje}}.</w:t>
      </w:r>
    </w:p>
    <w:p w:rsidR="00000000" w:rsidDel="00000000" w:rsidP="00000000" w:rsidRDefault="00000000" w:rsidRPr="00000000" w14:paraId="00000021">
      <w:pPr>
        <w:widowControl w:val="0"/>
        <w:spacing w:after="200" w:line="360" w:lineRule="auto"/>
        <w:ind w:hanging="3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widowControl w:val="0"/>
        <w:ind w:hanging="3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{{subscritor}}</w:t>
      </w:r>
    </w:p>
    <w:p w:rsidR="00000000" w:rsidDel="00000000" w:rsidP="00000000" w:rsidRDefault="00000000" w:rsidRPr="00000000" w14:paraId="00000023">
      <w:pPr>
        <w:widowControl w:val="0"/>
        <w:ind w:hanging="3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{{cargo_subscritor}}</w:t>
      </w:r>
    </w:p>
    <w:p w:rsidR="00000000" w:rsidDel="00000000" w:rsidP="00000000" w:rsidRDefault="00000000" w:rsidRPr="00000000" w14:paraId="00000024">
      <w:pPr>
        <w:widowControl w:val="0"/>
        <w:ind w:hanging="3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widowControl w:val="0"/>
        <w:ind w:hanging="3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7877175"/>
            <wp:effectExtent b="0" l="0" r="0" t="0"/>
            <wp:docPr id="4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7"/>
                    <a:srcRect b="0" l="0" r="0" t="282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87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8102600"/>
            <wp:effectExtent b="0" l="0" r="0" t="0"/>
            <wp:docPr id="9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8102600"/>
            <wp:effectExtent b="0" l="0" r="0" t="0"/>
            <wp:docPr id="12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8102600"/>
            <wp:effectExtent b="0" l="0" r="0" t="0"/>
            <wp:docPr id="8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8102600"/>
            <wp:effectExtent b="0" l="0" r="0" t="0"/>
            <wp:docPr id="14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8102600"/>
            <wp:effectExtent b="0" l="0" r="0" t="0"/>
            <wp:docPr id="6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8102600"/>
            <wp:effectExtent b="0" l="0" r="0" t="0"/>
            <wp:docPr id="10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8102600"/>
            <wp:effectExtent b="0" l="0" r="0" t="0"/>
            <wp:docPr id="13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8102600"/>
            <wp:effectExtent b="0" l="0" r="0" t="0"/>
            <wp:docPr id="1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8102600"/>
            <wp:effectExtent b="0" l="0" r="0" t="0"/>
            <wp:docPr id="11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8102600"/>
            <wp:effectExtent b="0" l="0" r="0" t="0"/>
            <wp:docPr id="15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8102600"/>
            <wp:effectExtent b="0" l="0" r="0" t="0"/>
            <wp:docPr id="3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8102600"/>
            <wp:effectExtent b="0" l="0" r="0" t="0"/>
            <wp:docPr id="16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8102600"/>
            <wp:effectExtent b="0" l="0" r="0" t="0"/>
            <wp:docPr id="19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8102600"/>
            <wp:effectExtent b="0" l="0" r="0" t="0"/>
            <wp:docPr id="5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8102600"/>
            <wp:effectExtent b="0" l="0" r="0" t="0"/>
            <wp:docPr id="7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8102600"/>
            <wp:effectExtent b="0" l="0" r="0" t="0"/>
            <wp:docPr id="18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8102600"/>
            <wp:effectExtent b="0" l="0" r="0" t="0"/>
            <wp:docPr id="2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widowControl w:val="0"/>
        <w:ind w:hanging="3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headerReference r:id="rId25" w:type="default"/>
      <w:footerReference r:id="rId26" w:type="default"/>
      <w:pgSz w:h="16834" w:w="11909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0">
    <w:pPr>
      <w:jc w:val="right"/>
      <w:rPr>
        <w:color w:val="999999"/>
      </w:rPr>
    </w:pPr>
    <w:r w:rsidDel="00000000" w:rsidR="00000000" w:rsidRPr="00000000">
      <w:rPr>
        <w:color w:val="999999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notes.xml><?xml version="1.0" encoding="utf-8"?>
<w:footnot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otnote w:id="0">
    <w:p w:rsidR="00000000" w:rsidDel="00000000" w:rsidP="00000000" w:rsidRDefault="00000000" w:rsidRPr="00000000" w14:paraId="00000031">
      <w:pPr>
        <w:spacing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sz w:val="20"/>
          <w:szCs w:val="20"/>
          <w:rtl w:val="0"/>
        </w:rPr>
        <w:t xml:space="preserve"> </w:t>
      </w:r>
      <w:hyperlink r:id="rId1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https://pjedaou.mpmt.mp.br/wp-content/uploads/2017/10/VALORACAO_DANO_AMBIENTAL_MT_PJEDAOU-1.pdf</w:t>
        </w:r>
      </w:hyperlink>
      <w:r w:rsidDel="00000000" w:rsidR="00000000" w:rsidRPr="00000000">
        <w:rPr>
          <w:sz w:val="20"/>
          <w:szCs w:val="20"/>
          <w:rtl w:val="0"/>
        </w:rPr>
        <w:t xml:space="preserve"> </w:t>
      </w:r>
    </w:p>
  </w:footnote>
</w:footnote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7">
    <w:pPr>
      <w:spacing w:line="240" w:lineRule="auto"/>
      <w:jc w:val="center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28">
    <w:pPr>
      <w:shd w:fill="ffffff" w:val="clear"/>
      <w:spacing w:line="240" w:lineRule="auto"/>
      <w:rPr>
        <w:sz w:val="24"/>
        <w:szCs w:val="24"/>
      </w:rPr>
    </w:pPr>
    <w:r w:rsidDel="00000000" w:rsidR="00000000" w:rsidRPr="00000000">
      <w:rPr>
        <w:rtl w:val="0"/>
      </w:rPr>
    </w:r>
  </w:p>
  <w:tbl>
    <w:tblPr>
      <w:tblStyle w:val="Table2"/>
      <w:tblW w:w="9345.0" w:type="dxa"/>
      <w:jc w:val="left"/>
      <w:tblInd w:w="175.0" w:type="dxa"/>
      <w:tblBorders>
        <w:top w:color="000000" w:space="0" w:sz="8" w:val="single"/>
        <w:left w:color="000000" w:space="0" w:sz="8" w:val="single"/>
        <w:bottom w:color="000000" w:space="0" w:sz="8" w:val="single"/>
        <w:right w:color="000000" w:space="0" w:sz="8" w:val="single"/>
        <w:insideH w:color="000000" w:space="0" w:sz="8" w:val="single"/>
        <w:insideV w:color="000000" w:space="0" w:sz="8" w:val="single"/>
      </w:tblBorders>
      <w:tblLayout w:type="fixed"/>
      <w:tblLook w:val="0600"/>
    </w:tblPr>
    <w:tblGrid>
      <w:gridCol w:w="4275"/>
      <w:gridCol w:w="5070"/>
      <w:tblGridChange w:id="0">
        <w:tblGrid>
          <w:gridCol w:w="4275"/>
          <w:gridCol w:w="5070"/>
        </w:tblGrid>
      </w:tblGridChange>
    </w:tblGrid>
    <w:tr>
      <w:tc>
        <w:tcPr>
          <w:tcBorders>
            <w:top w:color="ffffff" w:space="0" w:sz="8" w:val="single"/>
            <w:left w:color="ffffff" w:space="0" w:sz="8" w:val="single"/>
            <w:bottom w:color="ffffff" w:space="0" w:sz="8" w:val="single"/>
            <w:right w:color="ffffff" w:space="0" w:sz="8" w:val="single"/>
          </w:tcBorders>
          <w:shd w:fill="auto" w:val="clear"/>
          <w:tcMar>
            <w:top w:w="100.0" w:type="dxa"/>
            <w:left w:w="100.0" w:type="dxa"/>
            <w:bottom w:w="100.0" w:type="dxa"/>
            <w:right w:w="100.0" w:type="dxa"/>
          </w:tcMar>
          <w:vAlign w:val="top"/>
        </w:tcPr>
        <w:p w:rsidR="00000000" w:rsidDel="00000000" w:rsidP="00000000" w:rsidRDefault="00000000" w:rsidRPr="00000000" w14:paraId="00000029">
          <w:pPr>
            <w:shd w:fill="ffffff" w:val="clear"/>
            <w:spacing w:line="240" w:lineRule="auto"/>
            <w:rPr>
              <w:sz w:val="24"/>
              <w:szCs w:val="24"/>
            </w:rPr>
          </w:pPr>
          <w:r w:rsidDel="00000000" w:rsidR="00000000" w:rsidRPr="00000000">
            <w:rPr/>
            <w:drawing>
              <wp:inline distB="114300" distT="114300" distL="114300" distR="114300">
                <wp:extent cx="2581275" cy="1092200"/>
                <wp:effectExtent b="0" l="0" r="0" t="0"/>
                <wp:docPr id="17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81275" cy="10922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ffffff" w:space="0" w:sz="8" w:val="single"/>
            <w:left w:color="ffffff" w:space="0" w:sz="8" w:val="single"/>
            <w:bottom w:color="ffffff" w:space="0" w:sz="8" w:val="single"/>
            <w:right w:color="ffffff" w:space="0" w:sz="8" w:val="single"/>
          </w:tcBorders>
          <w:shd w:fill="auto" w:val="clear"/>
          <w:tcMar>
            <w:top w:w="100.0" w:type="dxa"/>
            <w:left w:w="100.0" w:type="dxa"/>
            <w:bottom w:w="100.0" w:type="dxa"/>
            <w:right w:w="100.0" w:type="dxa"/>
          </w:tcMar>
          <w:vAlign w:val="top"/>
        </w:tcPr>
        <w:p w:rsidR="00000000" w:rsidDel="00000000" w:rsidP="00000000" w:rsidRDefault="00000000" w:rsidRPr="00000000" w14:paraId="0000002A">
          <w:pPr>
            <w:shd w:fill="ffffff" w:val="clear"/>
            <w:spacing w:line="240" w:lineRule="auto"/>
            <w:rPr/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shd w:fill="ffffff" w:val="clear"/>
            <w:spacing w:line="240" w:lineRule="auto"/>
            <w:jc w:val="center"/>
            <w:rPr>
              <w:sz w:val="28"/>
              <w:szCs w:val="28"/>
            </w:rPr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shd w:fill="ffffff" w:val="clear"/>
            <w:spacing w:line="240" w:lineRule="auto"/>
            <w:jc w:val="center"/>
            <w:rPr>
              <w:sz w:val="28"/>
              <w:szCs w:val="28"/>
            </w:rPr>
          </w:pPr>
          <w:r w:rsidDel="00000000" w:rsidR="00000000" w:rsidRPr="00000000">
            <w:rPr>
              <w:sz w:val="28"/>
              <w:szCs w:val="28"/>
              <w:rtl w:val="0"/>
            </w:rPr>
            <w:t xml:space="preserve">{{orgao_execucao}}</w:t>
          </w:r>
        </w:p>
        <w:p w:rsidR="00000000" w:rsidDel="00000000" w:rsidP="00000000" w:rsidRDefault="00000000" w:rsidRPr="00000000" w14:paraId="0000002D">
          <w:pPr>
            <w:shd w:fill="ffffff" w:val="clear"/>
            <w:spacing w:line="240" w:lineRule="auto"/>
            <w:jc w:val="center"/>
            <w:rPr>
              <w:sz w:val="24"/>
              <w:szCs w:val="24"/>
            </w:rPr>
          </w:pPr>
          <w:r w:rsidDel="00000000" w:rsidR="00000000" w:rsidRPr="00000000">
            <w:rPr>
              <w:sz w:val="24"/>
              <w:szCs w:val="24"/>
              <w:rtl w:val="0"/>
            </w:rPr>
            <w:t xml:space="preserve">{{orgao_endereco}}</w:t>
          </w:r>
        </w:p>
        <w:p w:rsidR="00000000" w:rsidDel="00000000" w:rsidP="00000000" w:rsidRDefault="00000000" w:rsidRPr="00000000" w14:paraId="0000002E">
          <w:pPr>
            <w:shd w:fill="ffffff" w:val="clear"/>
            <w:spacing w:line="240" w:lineRule="auto"/>
            <w:jc w:val="center"/>
            <w:rPr>
              <w:sz w:val="28"/>
              <w:szCs w:val="28"/>
            </w:rPr>
          </w:pP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02F">
    <w:pPr>
      <w:spacing w:line="240" w:lineRule="auto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2">
    <w:lvl w:ilvl="0">
      <w:start w:val="1"/>
      <w:numFmt w:val="bullet"/>
      <w:lvlText w:val="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❏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❏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❏"/>
      <w:lvlJc w:val="left"/>
      <w:pPr>
        <w:ind w:left="864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jpg"/><Relationship Id="rId22" Type="http://schemas.openxmlformats.org/officeDocument/2006/relationships/image" Target="media/image7.jpg"/><Relationship Id="rId21" Type="http://schemas.openxmlformats.org/officeDocument/2006/relationships/image" Target="media/image2.jpg"/><Relationship Id="rId24" Type="http://schemas.openxmlformats.org/officeDocument/2006/relationships/image" Target="media/image9.jpg"/><Relationship Id="rId23" Type="http://schemas.openxmlformats.org/officeDocument/2006/relationships/image" Target="media/image13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15.jpg"/><Relationship Id="rId26" Type="http://schemas.openxmlformats.org/officeDocument/2006/relationships/footer" Target="footer1.xml"/><Relationship Id="rId25" Type="http://schemas.openxmlformats.org/officeDocument/2006/relationships/header" Target="header1.xm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image" Target="media/image3.jpg"/><Relationship Id="rId8" Type="http://schemas.openxmlformats.org/officeDocument/2006/relationships/image" Target="media/image8.jpg"/><Relationship Id="rId11" Type="http://schemas.openxmlformats.org/officeDocument/2006/relationships/image" Target="media/image17.jpg"/><Relationship Id="rId10" Type="http://schemas.openxmlformats.org/officeDocument/2006/relationships/image" Target="media/image4.jpg"/><Relationship Id="rId13" Type="http://schemas.openxmlformats.org/officeDocument/2006/relationships/image" Target="media/image18.jpg"/><Relationship Id="rId12" Type="http://schemas.openxmlformats.org/officeDocument/2006/relationships/image" Target="media/image19.jpg"/><Relationship Id="rId15" Type="http://schemas.openxmlformats.org/officeDocument/2006/relationships/image" Target="media/image6.jpg"/><Relationship Id="rId14" Type="http://schemas.openxmlformats.org/officeDocument/2006/relationships/image" Target="media/image12.jpg"/><Relationship Id="rId17" Type="http://schemas.openxmlformats.org/officeDocument/2006/relationships/image" Target="media/image16.jpg"/><Relationship Id="rId16" Type="http://schemas.openxmlformats.org/officeDocument/2006/relationships/image" Target="media/image11.jpg"/><Relationship Id="rId19" Type="http://schemas.openxmlformats.org/officeDocument/2006/relationships/image" Target="media/image10.jpg"/><Relationship Id="rId18" Type="http://schemas.openxmlformats.org/officeDocument/2006/relationships/image" Target="media/image5.jpg"/></Relationships>
</file>

<file path=word/_rels/footnotes.xml.rels><?xml version="1.0" encoding="UTF-8" standalone="yes"?><Relationships xmlns="http://schemas.openxmlformats.org/package/2006/relationships"><Relationship Id="rId1" Type="http://schemas.openxmlformats.org/officeDocument/2006/relationships/hyperlink" Target="https://pjedaou.mpmt.mp.br/wp-content/uploads/2017/10/VALORACAO_DANO_AMBIENTAL_MT_PJEDAOU-1.pdf" TargetMode="External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